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00" w:lineRule="auto"/>
        <w:jc w:val="center"/>
        <w:rPr>
          <w:sz w:val="36"/>
          <w:szCs w:val="36"/>
        </w:rPr>
      </w:pPr>
      <w:r>
        <w:rPr>
          <w:rFonts w:hint="eastAsia"/>
          <w:sz w:val="36"/>
          <w:szCs w:val="36"/>
        </w:rPr>
        <w:t>中南财经政法大学计算机类第二学士学位及</w:t>
      </w:r>
    </w:p>
    <w:p>
      <w:pPr>
        <w:pStyle w:val="2"/>
        <w:spacing w:before="0" w:after="0" w:line="300" w:lineRule="auto"/>
        <w:jc w:val="center"/>
        <w:rPr>
          <w:sz w:val="36"/>
          <w:szCs w:val="36"/>
        </w:rPr>
      </w:pPr>
      <w:r>
        <w:rPr>
          <w:sz w:val="36"/>
          <w:szCs w:val="36"/>
        </w:rPr>
        <w:t>本硕</w:t>
      </w:r>
      <w:r>
        <w:rPr>
          <w:rFonts w:hint="eastAsia"/>
          <w:sz w:val="36"/>
          <w:szCs w:val="36"/>
        </w:rPr>
        <w:t>连读国际联合培养</w:t>
      </w:r>
      <w:r>
        <w:rPr>
          <w:sz w:val="36"/>
          <w:szCs w:val="36"/>
        </w:rPr>
        <w:t>项目</w:t>
      </w:r>
      <w:r>
        <w:rPr>
          <w:rFonts w:hint="eastAsia"/>
          <w:sz w:val="36"/>
          <w:szCs w:val="36"/>
        </w:rPr>
        <w:t>介绍</w:t>
      </w:r>
    </w:p>
    <w:p>
      <w:r>
        <w:drawing>
          <wp:inline distT="0" distB="0" distL="0" distR="0">
            <wp:extent cx="5276215" cy="15240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1523267"/>
                    </a:xfrm>
                    <a:prstGeom prst="rect">
                      <a:avLst/>
                    </a:prstGeom>
                  </pic:spPr>
                </pic:pic>
              </a:graphicData>
            </a:graphic>
          </wp:inline>
        </w:drawing>
      </w:r>
    </w:p>
    <w:p>
      <w:pPr>
        <w:rPr>
          <w:sz w:val="36"/>
        </w:rPr>
      </w:pPr>
    </w:p>
    <w:p>
      <w:pPr>
        <w:rPr>
          <w:b/>
          <w:sz w:val="36"/>
        </w:rPr>
      </w:pPr>
      <w:r>
        <w:rPr>
          <w:rFonts w:hint="eastAsia"/>
          <w:b/>
          <w:sz w:val="36"/>
        </w:rPr>
        <w:t>一、第二学士学位招生专业</w:t>
      </w:r>
    </w:p>
    <w:p>
      <w:pPr>
        <w:spacing w:line="300" w:lineRule="auto"/>
        <w:ind w:firstLine="482" w:firstLineChars="200"/>
        <w:rPr>
          <w:rFonts w:ascii="宋体" w:hAnsi="宋体" w:eastAsia="宋体"/>
          <w:b/>
          <w:sz w:val="24"/>
          <w:szCs w:val="24"/>
        </w:rPr>
      </w:pPr>
      <w:r>
        <w:rPr>
          <w:rFonts w:hint="eastAsia" w:ascii="宋体" w:hAnsi="宋体" w:eastAsia="宋体"/>
          <w:b/>
          <w:sz w:val="24"/>
          <w:szCs w:val="24"/>
        </w:rPr>
        <w:t>1. 大数据管理与应用</w:t>
      </w:r>
    </w:p>
    <w:p>
      <w:pPr>
        <w:spacing w:line="300" w:lineRule="auto"/>
        <w:ind w:firstLine="480" w:firstLineChars="200"/>
        <w:rPr>
          <w:rFonts w:ascii="宋体" w:hAnsi="宋体" w:eastAsia="宋体"/>
          <w:sz w:val="24"/>
          <w:szCs w:val="24"/>
        </w:rPr>
      </w:pPr>
      <w:r>
        <w:rPr>
          <w:rFonts w:hint="eastAsia" w:ascii="宋体" w:hAnsi="宋体" w:eastAsia="宋体"/>
          <w:sz w:val="24"/>
          <w:szCs w:val="24"/>
        </w:rPr>
        <w:t>专业代码：</w:t>
      </w:r>
      <w:r>
        <w:rPr>
          <w:rFonts w:ascii="宋体" w:hAnsi="宋体" w:eastAsia="宋体"/>
          <w:sz w:val="24"/>
          <w:szCs w:val="24"/>
        </w:rPr>
        <w:t>120108T</w:t>
      </w:r>
    </w:p>
    <w:p>
      <w:pPr>
        <w:spacing w:line="300" w:lineRule="auto"/>
        <w:ind w:firstLine="480" w:firstLineChars="200"/>
        <w:rPr>
          <w:rFonts w:ascii="宋体" w:hAnsi="宋体" w:eastAsia="宋体"/>
          <w:sz w:val="24"/>
          <w:szCs w:val="24"/>
        </w:rPr>
      </w:pPr>
      <w:r>
        <w:rPr>
          <w:rFonts w:hint="eastAsia" w:ascii="宋体" w:hAnsi="宋体" w:eastAsia="宋体"/>
          <w:sz w:val="24"/>
          <w:szCs w:val="24"/>
        </w:rPr>
        <w:t>所属学科门类及专业类：管理学 管理科学与工程类</w:t>
      </w:r>
    </w:p>
    <w:p>
      <w:pPr>
        <w:spacing w:line="300" w:lineRule="auto"/>
        <w:ind w:firstLine="480" w:firstLineChars="200"/>
        <w:rPr>
          <w:rFonts w:ascii="宋体" w:hAnsi="宋体" w:eastAsia="宋体"/>
          <w:sz w:val="24"/>
          <w:szCs w:val="24"/>
        </w:rPr>
      </w:pPr>
      <w:r>
        <w:rPr>
          <w:rFonts w:hint="eastAsia" w:ascii="宋体" w:hAnsi="宋体" w:eastAsia="宋体"/>
          <w:sz w:val="24"/>
          <w:szCs w:val="24"/>
        </w:rPr>
        <w:t>修业年限：二年</w:t>
      </w:r>
    </w:p>
    <w:p>
      <w:pPr>
        <w:spacing w:line="300" w:lineRule="auto"/>
        <w:ind w:firstLine="480" w:firstLineChars="200"/>
        <w:rPr>
          <w:rFonts w:ascii="宋体" w:hAnsi="宋体" w:eastAsia="宋体"/>
          <w:sz w:val="24"/>
          <w:szCs w:val="24"/>
        </w:rPr>
      </w:pPr>
      <w:r>
        <w:rPr>
          <w:rFonts w:hint="eastAsia" w:ascii="宋体" w:hAnsi="宋体" w:eastAsia="宋体"/>
          <w:sz w:val="24"/>
          <w:szCs w:val="24"/>
        </w:rPr>
        <w:t>培养目标：培养符合数字经济发展与智能时代建设需要，“懂数据、懂技术、懂行业、懂管理”的应用型、复合型人才。第二学位培养注重专业融合与实践能力培养，通过学习具备扎实基础、科学知识结构、知识应用能力、国际化视野；强化数据获取、处理、分析、挖掘、可视化等专业技能；具备大数据技术在经济、商务、政务、管理等领域的应用能力。</w:t>
      </w:r>
    </w:p>
    <w:p>
      <w:pPr>
        <w:spacing w:line="300" w:lineRule="auto"/>
        <w:ind w:firstLine="480" w:firstLineChars="200"/>
        <w:rPr>
          <w:rFonts w:ascii="宋体" w:hAnsi="宋体" w:eastAsia="宋体"/>
          <w:sz w:val="24"/>
          <w:szCs w:val="24"/>
        </w:rPr>
      </w:pPr>
      <w:r>
        <w:rPr>
          <w:rFonts w:hint="eastAsia" w:ascii="宋体" w:hAnsi="宋体" w:eastAsia="宋体"/>
          <w:sz w:val="24"/>
          <w:szCs w:val="24"/>
        </w:rPr>
        <w:t>核心课程：机器学习方法、应用统计分析、大数据采集、大数据分析、大数据管理、文本分析与挖掘</w:t>
      </w:r>
    </w:p>
    <w:p>
      <w:pPr>
        <w:spacing w:line="300" w:lineRule="auto"/>
        <w:ind w:firstLine="480" w:firstLineChars="200"/>
        <w:rPr>
          <w:rFonts w:ascii="宋体" w:hAnsi="宋体" w:eastAsia="宋体"/>
          <w:sz w:val="24"/>
          <w:szCs w:val="24"/>
        </w:rPr>
      </w:pPr>
    </w:p>
    <w:p>
      <w:pPr>
        <w:spacing w:line="300" w:lineRule="auto"/>
        <w:ind w:firstLine="482" w:firstLineChars="200"/>
        <w:rPr>
          <w:rFonts w:ascii="宋体" w:hAnsi="宋体" w:eastAsia="宋体"/>
          <w:b/>
          <w:sz w:val="24"/>
          <w:szCs w:val="24"/>
        </w:rPr>
      </w:pPr>
      <w:r>
        <w:rPr>
          <w:rFonts w:hint="eastAsia" w:ascii="宋体" w:hAnsi="宋体" w:eastAsia="宋体"/>
          <w:b/>
          <w:sz w:val="24"/>
          <w:szCs w:val="24"/>
        </w:rPr>
        <w:t>2. 计算机科学与技术</w:t>
      </w:r>
    </w:p>
    <w:p>
      <w:pPr>
        <w:spacing w:line="300" w:lineRule="auto"/>
        <w:ind w:firstLine="480" w:firstLineChars="200"/>
        <w:rPr>
          <w:rFonts w:ascii="宋体" w:hAnsi="宋体" w:eastAsia="宋体"/>
          <w:sz w:val="24"/>
          <w:szCs w:val="24"/>
        </w:rPr>
      </w:pPr>
      <w:r>
        <w:rPr>
          <w:rFonts w:hint="eastAsia" w:ascii="宋体" w:hAnsi="宋体" w:eastAsia="宋体"/>
          <w:sz w:val="24"/>
          <w:szCs w:val="24"/>
        </w:rPr>
        <w:t>专业代码：</w:t>
      </w:r>
      <w:r>
        <w:rPr>
          <w:rFonts w:ascii="宋体" w:hAnsi="宋体" w:eastAsia="宋体"/>
          <w:sz w:val="24"/>
          <w:szCs w:val="24"/>
        </w:rPr>
        <w:t xml:space="preserve"> 080901</w:t>
      </w:r>
    </w:p>
    <w:p>
      <w:pPr>
        <w:spacing w:line="300" w:lineRule="auto"/>
        <w:ind w:firstLine="480" w:firstLineChars="200"/>
        <w:rPr>
          <w:rFonts w:ascii="宋体" w:hAnsi="宋体" w:eastAsia="宋体"/>
          <w:sz w:val="24"/>
          <w:szCs w:val="24"/>
        </w:rPr>
      </w:pPr>
      <w:r>
        <w:rPr>
          <w:rFonts w:hint="eastAsia" w:ascii="宋体" w:hAnsi="宋体" w:eastAsia="宋体"/>
          <w:sz w:val="24"/>
          <w:szCs w:val="24"/>
        </w:rPr>
        <w:t>所属学科门类及专业类：</w:t>
      </w:r>
      <w:r>
        <w:rPr>
          <w:rFonts w:ascii="宋体" w:hAnsi="宋体" w:eastAsia="宋体"/>
          <w:sz w:val="24"/>
          <w:szCs w:val="24"/>
        </w:rPr>
        <w:t xml:space="preserve"> 工学 计算机类</w:t>
      </w:r>
    </w:p>
    <w:p>
      <w:pPr>
        <w:spacing w:line="300" w:lineRule="auto"/>
        <w:ind w:firstLine="480" w:firstLineChars="200"/>
        <w:rPr>
          <w:rFonts w:ascii="宋体" w:hAnsi="宋体" w:eastAsia="宋体"/>
          <w:sz w:val="24"/>
          <w:szCs w:val="24"/>
        </w:rPr>
      </w:pPr>
      <w:r>
        <w:rPr>
          <w:rFonts w:hint="eastAsia" w:ascii="宋体" w:hAnsi="宋体" w:eastAsia="宋体"/>
          <w:sz w:val="24"/>
          <w:szCs w:val="24"/>
        </w:rPr>
        <w:t>修业年限：</w:t>
      </w:r>
      <w:r>
        <w:rPr>
          <w:rFonts w:ascii="宋体" w:hAnsi="宋体" w:eastAsia="宋体"/>
          <w:sz w:val="24"/>
          <w:szCs w:val="24"/>
        </w:rPr>
        <w:t xml:space="preserve"> 二年</w:t>
      </w:r>
    </w:p>
    <w:p>
      <w:pPr>
        <w:spacing w:line="300" w:lineRule="auto"/>
        <w:ind w:firstLine="480" w:firstLineChars="200"/>
        <w:rPr>
          <w:rFonts w:ascii="宋体" w:hAnsi="宋体" w:eastAsia="宋体"/>
          <w:sz w:val="24"/>
          <w:szCs w:val="24"/>
        </w:rPr>
      </w:pPr>
      <w:r>
        <w:rPr>
          <w:rFonts w:hint="eastAsia" w:ascii="宋体" w:hAnsi="宋体" w:eastAsia="宋体"/>
          <w:sz w:val="24"/>
          <w:szCs w:val="24"/>
        </w:rPr>
        <w:t>培养目标：培养具有良好的科学素养，系统地掌握计算机科学与技术的基本理论，具备计算机软硬件、信息安全及人工智能技术的应用能力，具备良好的经济、法律、管理等学科的知识背景，能在各级政府管理机构、工商经贸企事业单位从事计算机科学与技术的科学研究、系统设计开发和信息技术管理的应用型、复合型高级人才。</w:t>
      </w:r>
    </w:p>
    <w:p>
      <w:pPr>
        <w:spacing w:line="300" w:lineRule="auto"/>
        <w:ind w:firstLine="480" w:firstLineChars="200"/>
        <w:rPr>
          <w:rFonts w:ascii="宋体" w:hAnsi="宋体" w:eastAsia="宋体"/>
          <w:sz w:val="24"/>
          <w:szCs w:val="24"/>
        </w:rPr>
      </w:pPr>
      <w:r>
        <w:rPr>
          <w:rFonts w:hint="eastAsia" w:ascii="宋体" w:hAnsi="宋体" w:eastAsia="宋体"/>
          <w:sz w:val="24"/>
          <w:szCs w:val="24"/>
        </w:rPr>
        <w:t>核心课程：</w:t>
      </w:r>
      <w:r>
        <w:rPr>
          <w:rFonts w:ascii="宋体" w:hAnsi="宋体" w:eastAsia="宋体"/>
          <w:sz w:val="24"/>
          <w:szCs w:val="24"/>
        </w:rPr>
        <w:t>大数据应用技术、人工智能概论、Python语言、算法导论、信息安全概论、机器学习、</w:t>
      </w:r>
      <w:r>
        <w:rPr>
          <w:rFonts w:hint="eastAsia" w:ascii="宋体" w:hAnsi="宋体" w:eastAsia="宋体"/>
          <w:sz w:val="24"/>
          <w:szCs w:val="24"/>
        </w:rPr>
        <w:t>区块链与金融安全</w:t>
      </w:r>
      <w:r>
        <w:rPr>
          <w:rFonts w:ascii="宋体" w:hAnsi="宋体" w:eastAsia="宋体"/>
          <w:sz w:val="24"/>
          <w:szCs w:val="24"/>
        </w:rPr>
        <w:t>等。</w:t>
      </w:r>
    </w:p>
    <w:p>
      <w:pPr>
        <w:spacing w:line="300" w:lineRule="auto"/>
        <w:rPr>
          <w:rFonts w:hint="eastAsia" w:ascii="宋体" w:hAnsi="宋体" w:eastAsia="宋体"/>
          <w:sz w:val="24"/>
          <w:szCs w:val="24"/>
        </w:rPr>
      </w:pPr>
      <w:r>
        <w:rPr>
          <w:rFonts w:hint="eastAsia" w:ascii="宋体" w:hAnsi="宋体" w:eastAsia="宋体"/>
          <w:sz w:val="24"/>
          <w:szCs w:val="24"/>
        </w:rPr>
        <w:drawing>
          <wp:inline distT="0" distB="0" distL="0" distR="0">
            <wp:extent cx="5270500" cy="19240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1924050"/>
                    </a:xfrm>
                    <a:prstGeom prst="rect">
                      <a:avLst/>
                    </a:prstGeom>
                    <a:noFill/>
                    <a:ln>
                      <a:noFill/>
                    </a:ln>
                  </pic:spPr>
                </pic:pic>
              </a:graphicData>
            </a:graphic>
          </wp:inline>
        </w:drawing>
      </w:r>
    </w:p>
    <w:p>
      <w:pPr>
        <w:rPr>
          <w:sz w:val="40"/>
        </w:rPr>
      </w:pPr>
    </w:p>
    <w:p>
      <w:pPr>
        <w:rPr>
          <w:rFonts w:ascii="宋体" w:hAnsi="宋体" w:eastAsia="宋体"/>
          <w:b/>
          <w:sz w:val="24"/>
          <w:szCs w:val="24"/>
        </w:rPr>
      </w:pPr>
      <w:r>
        <w:rPr>
          <w:rFonts w:hint="eastAsia"/>
          <w:b/>
          <w:sz w:val="36"/>
        </w:rPr>
        <w:t>二、第二学位与</w:t>
      </w:r>
      <w:r>
        <w:rPr>
          <w:b/>
          <w:sz w:val="36"/>
        </w:rPr>
        <w:t>美国伊利诺伊理工大学</w:t>
      </w:r>
      <w:r>
        <w:rPr>
          <w:rFonts w:hint="eastAsia"/>
          <w:b/>
          <w:sz w:val="36"/>
        </w:rPr>
        <w:t>本硕连读项目“1+1+1”</w:t>
      </w:r>
    </w:p>
    <w:p>
      <w:pPr>
        <w:rPr>
          <w:rFonts w:ascii="宋体" w:hAnsi="宋体" w:eastAsia="宋体"/>
          <w:sz w:val="24"/>
          <w:szCs w:val="24"/>
        </w:rPr>
      </w:pPr>
    </w:p>
    <w:p>
      <w:pPr>
        <w:spacing w:line="300" w:lineRule="auto"/>
        <w:ind w:firstLine="482" w:firstLineChars="200"/>
        <w:rPr>
          <w:rFonts w:ascii="宋体" w:hAnsi="宋体" w:eastAsia="宋体"/>
          <w:b/>
          <w:sz w:val="24"/>
          <w:szCs w:val="24"/>
        </w:rPr>
      </w:pPr>
      <w:r>
        <w:rPr>
          <w:rFonts w:hint="eastAsia" w:ascii="宋体" w:hAnsi="宋体" w:eastAsia="宋体"/>
          <w:b/>
          <w:sz w:val="24"/>
          <w:szCs w:val="24"/>
        </w:rPr>
        <w:t>1. “1+1+1”项目简介</w:t>
      </w:r>
    </w:p>
    <w:p>
      <w:pPr>
        <w:spacing w:line="300" w:lineRule="auto"/>
        <w:ind w:firstLine="480" w:firstLineChars="200"/>
        <w:rPr>
          <w:rFonts w:ascii="宋体" w:hAnsi="宋体" w:eastAsia="宋体"/>
          <w:sz w:val="24"/>
          <w:szCs w:val="24"/>
        </w:rPr>
      </w:pPr>
      <w:r>
        <w:rPr>
          <w:rFonts w:hint="eastAsia" w:ascii="宋体" w:hAnsi="宋体" w:eastAsia="宋体"/>
          <w:sz w:val="24"/>
          <w:szCs w:val="24"/>
        </w:rPr>
        <w:t>中南财经政法大学</w:t>
      </w:r>
      <w:r>
        <w:rPr>
          <w:rFonts w:ascii="宋体" w:hAnsi="宋体" w:eastAsia="宋体"/>
          <w:sz w:val="24"/>
          <w:szCs w:val="24"/>
        </w:rPr>
        <w:t>联合美国伊利诺伊理工大学</w:t>
      </w:r>
      <w:r>
        <w:rPr>
          <w:rFonts w:hint="eastAsia" w:ascii="宋体" w:hAnsi="宋体" w:eastAsia="宋体"/>
          <w:sz w:val="24"/>
          <w:szCs w:val="24"/>
        </w:rPr>
        <w:t>计算机学院</w:t>
      </w:r>
      <w:r>
        <w:rPr>
          <w:rFonts w:ascii="宋体" w:hAnsi="宋体" w:eastAsia="宋体"/>
          <w:sz w:val="24"/>
          <w:szCs w:val="24"/>
        </w:rPr>
        <w:t>开</w:t>
      </w:r>
      <w:r>
        <w:rPr>
          <w:rFonts w:hint="eastAsia" w:ascii="宋体" w:hAnsi="宋体" w:eastAsia="宋体"/>
          <w:sz w:val="24"/>
          <w:szCs w:val="24"/>
        </w:rPr>
        <w:t>设人工智能（Artificial</w:t>
      </w:r>
      <w:r>
        <w:rPr>
          <w:rFonts w:ascii="宋体" w:hAnsi="宋体" w:eastAsia="宋体"/>
          <w:sz w:val="24"/>
          <w:szCs w:val="24"/>
        </w:rPr>
        <w:t xml:space="preserve"> </w:t>
      </w:r>
      <w:r>
        <w:rPr>
          <w:rFonts w:hint="eastAsia" w:ascii="宋体" w:hAnsi="宋体" w:eastAsia="宋体"/>
          <w:sz w:val="24"/>
          <w:szCs w:val="24"/>
        </w:rPr>
        <w:t>Intelligence）和数据科学（Data</w:t>
      </w:r>
      <w:r>
        <w:rPr>
          <w:rFonts w:ascii="宋体" w:hAnsi="宋体" w:eastAsia="宋体"/>
          <w:sz w:val="24"/>
          <w:szCs w:val="24"/>
        </w:rPr>
        <w:t xml:space="preserve"> </w:t>
      </w:r>
      <w:r>
        <w:rPr>
          <w:rFonts w:hint="eastAsia" w:ascii="宋体" w:hAnsi="宋体" w:eastAsia="宋体"/>
          <w:sz w:val="24"/>
          <w:szCs w:val="24"/>
        </w:rPr>
        <w:t>Science）本硕连读项目。项目的培养路径如下：</w:t>
      </w:r>
    </w:p>
    <w:p>
      <w:pPr>
        <w:spacing w:line="300" w:lineRule="auto"/>
        <w:ind w:firstLine="480" w:firstLineChars="200"/>
        <w:rPr>
          <w:rFonts w:ascii="宋体" w:hAnsi="宋体" w:eastAsia="宋体"/>
          <w:sz w:val="24"/>
          <w:szCs w:val="24"/>
        </w:rPr>
      </w:pPr>
      <w:r>
        <w:rPr>
          <w:rFonts w:hint="eastAsia" w:ascii="宋体" w:hAnsi="宋体" w:eastAsia="宋体"/>
          <w:sz w:val="24"/>
          <w:szCs w:val="24"/>
        </w:rPr>
        <w:t>第一个“1”：在中南财经政法大学进行第一年的第二学位专业学习；</w:t>
      </w:r>
    </w:p>
    <w:p>
      <w:pPr>
        <w:spacing w:line="300" w:lineRule="auto"/>
        <w:ind w:firstLine="480" w:firstLineChars="200"/>
        <w:rPr>
          <w:rFonts w:ascii="宋体" w:hAnsi="宋体" w:eastAsia="宋体"/>
          <w:sz w:val="24"/>
          <w:szCs w:val="24"/>
        </w:rPr>
      </w:pPr>
      <w:r>
        <w:rPr>
          <w:rFonts w:hint="eastAsia" w:ascii="宋体" w:hAnsi="宋体" w:eastAsia="宋体"/>
          <w:sz w:val="24"/>
          <w:szCs w:val="24"/>
        </w:rPr>
        <w:t>第二个“1”：在中南财经政法大学进行第二年的第二学位专业学习，同时加入美国伊利诺伊理工大学计算机类：“人工智能”或“数据科学”硕士（后期还可申请金融学：“金融学”或“管理学”硕士）在线课程。本学年结束后，各科成绩合格，获中南财经政法大学第二学士学位；</w:t>
      </w:r>
    </w:p>
    <w:p>
      <w:pPr>
        <w:spacing w:line="300" w:lineRule="auto"/>
        <w:ind w:firstLine="480" w:firstLineChars="200"/>
        <w:rPr>
          <w:rFonts w:ascii="宋体" w:hAnsi="宋体" w:eastAsia="宋体"/>
          <w:sz w:val="24"/>
          <w:szCs w:val="24"/>
        </w:rPr>
      </w:pPr>
      <w:r>
        <w:rPr>
          <w:rFonts w:hint="eastAsia" w:ascii="宋体" w:hAnsi="宋体" w:eastAsia="宋体"/>
          <w:sz w:val="24"/>
          <w:szCs w:val="24"/>
        </w:rPr>
        <w:t>第三个“1”：前期学习成绩达到</w:t>
      </w:r>
      <w:r>
        <w:rPr>
          <w:rFonts w:ascii="宋体" w:hAnsi="宋体" w:eastAsia="宋体"/>
          <w:sz w:val="24"/>
          <w:szCs w:val="24"/>
        </w:rPr>
        <w:t>伊利诺伊理工大学</w:t>
      </w:r>
      <w:r>
        <w:rPr>
          <w:rFonts w:hint="eastAsia" w:ascii="宋体" w:hAnsi="宋体" w:eastAsia="宋体"/>
          <w:sz w:val="24"/>
          <w:szCs w:val="24"/>
        </w:rPr>
        <w:t>要求的学生，前往</w:t>
      </w:r>
      <w:r>
        <w:rPr>
          <w:rFonts w:ascii="宋体" w:hAnsi="宋体" w:eastAsia="宋体"/>
          <w:sz w:val="24"/>
          <w:szCs w:val="24"/>
        </w:rPr>
        <w:t>美国伊利诺伊理工大学</w:t>
      </w:r>
      <w:r>
        <w:rPr>
          <w:rFonts w:hint="eastAsia" w:ascii="宋体" w:hAnsi="宋体" w:eastAsia="宋体"/>
          <w:sz w:val="24"/>
          <w:szCs w:val="24"/>
        </w:rPr>
        <w:t>校区完成后续一年的课程，并获</w:t>
      </w:r>
      <w:r>
        <w:rPr>
          <w:rFonts w:ascii="宋体" w:hAnsi="宋体" w:eastAsia="宋体"/>
          <w:sz w:val="24"/>
          <w:szCs w:val="24"/>
        </w:rPr>
        <w:t>伊利诺伊理工大学</w:t>
      </w:r>
      <w:r>
        <w:rPr>
          <w:rFonts w:hint="eastAsia" w:ascii="宋体" w:hAnsi="宋体" w:eastAsia="宋体"/>
          <w:sz w:val="24"/>
          <w:szCs w:val="24"/>
        </w:rPr>
        <w:t>硕士学位。</w:t>
      </w:r>
    </w:p>
    <w:p>
      <w:pPr>
        <w:spacing w:line="300" w:lineRule="auto"/>
        <w:ind w:firstLine="480" w:firstLineChars="200"/>
        <w:jc w:val="left"/>
        <w:rPr>
          <w:rFonts w:ascii="宋体" w:hAnsi="宋体" w:eastAsia="宋体"/>
          <w:sz w:val="24"/>
          <w:szCs w:val="24"/>
        </w:rPr>
      </w:pPr>
    </w:p>
    <w:p>
      <w:pPr>
        <w:spacing w:line="300" w:lineRule="auto"/>
        <w:ind w:firstLine="482" w:firstLineChars="200"/>
        <w:jc w:val="left"/>
        <w:rPr>
          <w:rFonts w:ascii="宋体" w:hAnsi="宋体" w:eastAsia="宋体"/>
          <w:b/>
          <w:sz w:val="24"/>
          <w:szCs w:val="24"/>
        </w:rPr>
      </w:pPr>
      <w:r>
        <w:rPr>
          <w:rFonts w:ascii="宋体" w:hAnsi="宋体" w:eastAsia="宋体"/>
          <w:b/>
          <w:sz w:val="24"/>
          <w:szCs w:val="24"/>
        </w:rPr>
        <w:t>2.</w:t>
      </w:r>
      <w:r>
        <w:rPr>
          <w:rFonts w:hint="eastAsia" w:ascii="宋体" w:hAnsi="宋体" w:eastAsia="宋体"/>
          <w:b/>
          <w:sz w:val="24"/>
          <w:szCs w:val="24"/>
        </w:rPr>
        <w:t xml:space="preserve"> 伊利诺伊理工大学简介</w:t>
      </w:r>
    </w:p>
    <w:p>
      <w:pPr>
        <w:spacing w:line="300" w:lineRule="auto"/>
        <w:ind w:firstLine="420" w:firstLineChars="200"/>
        <w:rPr>
          <w:rFonts w:ascii="宋体" w:hAnsi="宋体" w:eastAsia="宋体"/>
          <w:sz w:val="24"/>
          <w:szCs w:val="24"/>
        </w:rPr>
      </w:pPr>
      <w:r>
        <w:rPr>
          <w:rFonts w:ascii="宋体" w:hAnsi="宋体" w:eastAsia="宋体"/>
        </w:rPr>
        <w:drawing>
          <wp:inline distT="0" distB="0" distL="0" distR="0">
            <wp:extent cx="5274310" cy="2693035"/>
            <wp:effectExtent l="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693035"/>
                    </a:xfrm>
                    <a:prstGeom prst="rect">
                      <a:avLst/>
                    </a:prstGeom>
                    <a:noFill/>
                    <a:ln>
                      <a:noFill/>
                    </a:ln>
                    <a:effectLst/>
                  </pic:spPr>
                </pic:pic>
              </a:graphicData>
            </a:graphic>
          </wp:inline>
        </w:drawing>
      </w:r>
    </w:p>
    <w:p>
      <w:pPr>
        <w:spacing w:line="300" w:lineRule="auto"/>
        <w:ind w:firstLine="480" w:firstLineChars="200"/>
        <w:rPr>
          <w:rFonts w:ascii="宋体" w:hAnsi="宋体" w:eastAsia="宋体"/>
          <w:sz w:val="24"/>
          <w:szCs w:val="24"/>
        </w:rPr>
      </w:pPr>
      <w:r>
        <w:rPr>
          <w:rFonts w:hint="eastAsia" w:ascii="宋体" w:hAnsi="宋体" w:eastAsia="宋体"/>
          <w:sz w:val="24"/>
          <w:szCs w:val="24"/>
        </w:rPr>
        <w:t>伊利诺伊理工大学（</w:t>
      </w:r>
      <w:r>
        <w:rPr>
          <w:rFonts w:ascii="宋体" w:hAnsi="宋体" w:eastAsia="宋体"/>
          <w:sz w:val="24"/>
          <w:szCs w:val="24"/>
        </w:rPr>
        <w:t>Illinois Institute of Technology）</w:t>
      </w:r>
      <w:r>
        <w:rPr>
          <w:rFonts w:hint="eastAsia" w:ascii="宋体" w:hAnsi="宋体" w:eastAsia="宋体"/>
          <w:sz w:val="24"/>
          <w:szCs w:val="24"/>
        </w:rPr>
        <w:t>创始</w:t>
      </w:r>
      <w:r>
        <w:rPr>
          <w:rFonts w:ascii="宋体" w:hAnsi="宋体" w:eastAsia="宋体"/>
          <w:sz w:val="24"/>
          <w:szCs w:val="24"/>
        </w:rPr>
        <w:t>于1890年，</w:t>
      </w:r>
      <w:r>
        <w:rPr>
          <w:rFonts w:hint="eastAsia" w:ascii="宋体" w:hAnsi="宋体" w:eastAsia="宋体"/>
          <w:sz w:val="24"/>
          <w:szCs w:val="24"/>
        </w:rPr>
        <w:t>位于美国第三大城市芝加哥的中心地带。</w:t>
      </w:r>
      <w:r>
        <w:rPr>
          <w:rFonts w:ascii="宋体" w:hAnsi="宋体" w:eastAsia="宋体"/>
          <w:sz w:val="24"/>
          <w:szCs w:val="24"/>
        </w:rPr>
        <w:t>经百年发展更已成为一所实力雄厚的具有授予博士学位资格的综合性私立大学，美国大学综合排名第</w:t>
      </w:r>
      <w:r>
        <w:rPr>
          <w:rFonts w:hint="eastAsia" w:ascii="宋体" w:hAnsi="宋体" w:eastAsia="宋体"/>
          <w:sz w:val="24"/>
          <w:szCs w:val="24"/>
        </w:rPr>
        <w:t>71</w:t>
      </w:r>
      <w:r>
        <w:rPr>
          <w:rFonts w:ascii="宋体" w:hAnsi="宋体" w:eastAsia="宋体"/>
          <w:sz w:val="24"/>
          <w:szCs w:val="24"/>
        </w:rPr>
        <w:t>名（</w:t>
      </w:r>
      <w:r>
        <w:rPr>
          <w:rFonts w:hint="eastAsia" w:ascii="宋体" w:hAnsi="宋体" w:eastAsia="宋体"/>
          <w:sz w:val="24"/>
          <w:szCs w:val="24"/>
        </w:rPr>
        <w:t>QS</w:t>
      </w:r>
      <w:r>
        <w:rPr>
          <w:rFonts w:ascii="宋体" w:hAnsi="宋体" w:eastAsia="宋体"/>
          <w:sz w:val="24"/>
          <w:szCs w:val="24"/>
        </w:rPr>
        <w:t xml:space="preserve"> </w:t>
      </w:r>
      <w:r>
        <w:rPr>
          <w:rFonts w:hint="eastAsia" w:ascii="宋体" w:hAnsi="宋体" w:eastAsia="宋体"/>
          <w:sz w:val="24"/>
          <w:szCs w:val="24"/>
        </w:rPr>
        <w:t>World</w:t>
      </w:r>
      <w:r>
        <w:rPr>
          <w:rFonts w:ascii="宋体" w:hAnsi="宋体" w:eastAsia="宋体"/>
          <w:sz w:val="24"/>
          <w:szCs w:val="24"/>
        </w:rPr>
        <w:t xml:space="preserve"> </w:t>
      </w:r>
      <w:r>
        <w:rPr>
          <w:rFonts w:hint="eastAsia" w:ascii="宋体" w:hAnsi="宋体" w:eastAsia="宋体"/>
          <w:sz w:val="24"/>
          <w:szCs w:val="24"/>
        </w:rPr>
        <w:t>University</w:t>
      </w:r>
      <w:r>
        <w:rPr>
          <w:rFonts w:ascii="宋体" w:hAnsi="宋体" w:eastAsia="宋体"/>
          <w:sz w:val="24"/>
          <w:szCs w:val="24"/>
        </w:rPr>
        <w:t xml:space="preserve"> </w:t>
      </w:r>
      <w:r>
        <w:rPr>
          <w:rFonts w:hint="eastAsia" w:ascii="宋体" w:hAnsi="宋体" w:eastAsia="宋体"/>
          <w:sz w:val="24"/>
          <w:szCs w:val="24"/>
        </w:rPr>
        <w:t>Rank</w:t>
      </w:r>
      <w:r>
        <w:rPr>
          <w:rFonts w:ascii="宋体" w:hAnsi="宋体" w:eastAsia="宋体"/>
          <w:sz w:val="24"/>
          <w:szCs w:val="24"/>
        </w:rPr>
        <w:t>）</w:t>
      </w:r>
      <w:r>
        <w:rPr>
          <w:rFonts w:hint="eastAsia" w:ascii="宋体" w:hAnsi="宋体" w:eastAsia="宋体"/>
          <w:sz w:val="24"/>
          <w:szCs w:val="24"/>
        </w:rPr>
        <w:t>，</w:t>
      </w:r>
      <w:r>
        <w:rPr>
          <w:rFonts w:ascii="宋体" w:hAnsi="宋体" w:eastAsia="宋体"/>
          <w:sz w:val="24"/>
          <w:szCs w:val="24"/>
        </w:rPr>
        <w:t>是中国教育部首批认可的国外院校。伊利诺伊理工大学的校友及教学团队中曾先后涌现出4位诺贝尔奖获得者</w:t>
      </w:r>
      <w:r>
        <w:rPr>
          <w:rFonts w:hint="eastAsia" w:ascii="宋体" w:hAnsi="宋体" w:eastAsia="宋体"/>
          <w:sz w:val="24"/>
          <w:szCs w:val="24"/>
        </w:rPr>
        <w:t>和多名之名设计师，</w:t>
      </w:r>
      <w:r>
        <w:rPr>
          <w:rFonts w:ascii="宋体" w:hAnsi="宋体" w:eastAsia="宋体"/>
          <w:sz w:val="24"/>
          <w:szCs w:val="24"/>
        </w:rPr>
        <w:t>2位“建筑诺贝尔奖”普利兹克奖获得者。此外，磁记录技术之父马文·卡姆拉斯（Marvin Camras），无线电天文学先驱格罗特·雷伯（Grote Reber）与手机之父马丁·库帕（Martin Cooper）等也毕业于该校。</w:t>
      </w:r>
    </w:p>
    <w:p>
      <w:pPr>
        <w:spacing w:line="300" w:lineRule="auto"/>
        <w:ind w:firstLine="480" w:firstLineChars="200"/>
        <w:jc w:val="left"/>
        <w:rPr>
          <w:rFonts w:ascii="宋体" w:hAnsi="宋体" w:eastAsia="宋体"/>
          <w:sz w:val="24"/>
          <w:szCs w:val="24"/>
        </w:rPr>
      </w:pPr>
    </w:p>
    <w:p>
      <w:pPr>
        <w:spacing w:line="300" w:lineRule="auto"/>
        <w:ind w:firstLine="422" w:firstLineChars="200"/>
        <w:jc w:val="left"/>
        <w:rPr>
          <w:rFonts w:ascii="宋体" w:hAnsi="宋体" w:eastAsia="宋体"/>
          <w:sz w:val="24"/>
          <w:szCs w:val="24"/>
        </w:rPr>
      </w:pPr>
      <w:r>
        <w:rPr>
          <w:rFonts w:hint="eastAsia" w:ascii="宋体" w:hAnsi="宋体" w:eastAsia="宋体"/>
          <w:b/>
          <w:bCs/>
        </w:rPr>
        <w:drawing>
          <wp:inline distT="0" distB="0" distL="0" distR="0">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spacing w:line="300" w:lineRule="auto"/>
        <w:ind w:firstLine="480" w:firstLineChars="200"/>
        <w:jc w:val="left"/>
        <w:rPr>
          <w:rFonts w:ascii="宋体" w:hAnsi="宋体" w:eastAsia="宋体"/>
          <w:sz w:val="24"/>
          <w:szCs w:val="24"/>
        </w:rPr>
      </w:pPr>
      <w:r>
        <w:rPr>
          <w:rFonts w:ascii="宋体" w:hAnsi="宋体" w:eastAsia="宋体"/>
          <w:sz w:val="24"/>
          <w:szCs w:val="24"/>
        </w:rPr>
        <w:t>Motorola、Google、Apple、Lucent、Amazon、Caterpillar、BP、Chicago Board of Trade、Bank One、Kraft Foods、Steelcase等知名国际企业均是</w:t>
      </w:r>
      <w:r>
        <w:rPr>
          <w:rFonts w:hint="eastAsia" w:ascii="宋体" w:hAnsi="宋体" w:eastAsia="宋体"/>
          <w:sz w:val="24"/>
          <w:szCs w:val="24"/>
        </w:rPr>
        <w:t>该校</w:t>
      </w:r>
      <w:r>
        <w:rPr>
          <w:rFonts w:ascii="宋体" w:hAnsi="宋体" w:eastAsia="宋体"/>
          <w:sz w:val="24"/>
          <w:szCs w:val="24"/>
        </w:rPr>
        <w:t>教学合作的密切伙伴。</w:t>
      </w:r>
    </w:p>
    <w:p>
      <w:pPr>
        <w:spacing w:line="300" w:lineRule="auto"/>
        <w:rPr>
          <w:rFonts w:ascii="宋体" w:hAnsi="宋体" w:eastAsia="宋体"/>
          <w:sz w:val="24"/>
          <w:szCs w:val="24"/>
        </w:rPr>
      </w:pPr>
      <w:r>
        <w:rPr>
          <w:rFonts w:ascii="宋体" w:hAnsi="宋体" w:eastAsia="宋体"/>
        </w:rPr>
        <w:drawing>
          <wp:inline distT="0" distB="0" distL="0" distR="0">
            <wp:extent cx="5274310" cy="30137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013710"/>
                    </a:xfrm>
                    <a:prstGeom prst="rect">
                      <a:avLst/>
                    </a:prstGeom>
                    <a:noFill/>
                    <a:ln>
                      <a:noFill/>
                    </a:ln>
                  </pic:spPr>
                </pic:pic>
              </a:graphicData>
            </a:graphic>
          </wp:inline>
        </w:drawing>
      </w:r>
    </w:p>
    <w:p>
      <w:pPr>
        <w:spacing w:line="300" w:lineRule="auto"/>
        <w:ind w:firstLine="480" w:firstLineChars="200"/>
        <w:rPr>
          <w:rFonts w:ascii="宋体" w:hAnsi="宋体" w:eastAsia="宋体"/>
          <w:sz w:val="24"/>
          <w:szCs w:val="24"/>
        </w:rPr>
      </w:pPr>
    </w:p>
    <w:p>
      <w:pPr>
        <w:spacing w:line="300" w:lineRule="auto"/>
        <w:ind w:firstLine="482" w:firstLineChars="200"/>
        <w:rPr>
          <w:rFonts w:ascii="宋体" w:hAnsi="宋体" w:eastAsia="宋体"/>
          <w:b/>
          <w:sz w:val="24"/>
          <w:szCs w:val="24"/>
        </w:rPr>
      </w:pPr>
      <w:r>
        <w:rPr>
          <w:rFonts w:hint="eastAsia" w:ascii="宋体" w:hAnsi="宋体" w:eastAsia="宋体"/>
          <w:b/>
          <w:sz w:val="24"/>
          <w:szCs w:val="24"/>
        </w:rPr>
        <w:t>3. 详细培养过程</w:t>
      </w:r>
    </w:p>
    <w:p>
      <w:pPr>
        <w:spacing w:line="300" w:lineRule="auto"/>
        <w:ind w:firstLine="480" w:firstLineChars="200"/>
        <w:rPr>
          <w:rFonts w:ascii="宋体" w:hAnsi="宋体" w:eastAsia="宋体"/>
          <w:sz w:val="24"/>
          <w:szCs w:val="24"/>
        </w:rPr>
      </w:pPr>
      <w:r>
        <w:rPr>
          <w:rFonts w:ascii="宋体" w:hAnsi="宋体" w:eastAsia="宋体"/>
          <w:sz w:val="24"/>
          <w:szCs w:val="24"/>
        </w:rPr>
        <w:t>参加该项目的学生在本校学习</w:t>
      </w:r>
      <w:r>
        <w:rPr>
          <w:rFonts w:hint="eastAsia" w:ascii="宋体" w:hAnsi="宋体" w:eastAsia="宋体"/>
          <w:sz w:val="24"/>
          <w:szCs w:val="24"/>
        </w:rPr>
        <w:t>1年，第2年将在信息与安全工程学院的组织下进行12个学分的伊利诺伊理工大学计算机学院提供的在线课程学习，之后进入</w:t>
      </w:r>
      <w:r>
        <w:rPr>
          <w:rFonts w:ascii="宋体" w:hAnsi="宋体" w:eastAsia="宋体"/>
          <w:sz w:val="24"/>
          <w:szCs w:val="24"/>
        </w:rPr>
        <w:t>伊利诺伊理工大学</w:t>
      </w:r>
      <w:r>
        <w:rPr>
          <w:rFonts w:hint="eastAsia" w:ascii="宋体" w:hAnsi="宋体" w:eastAsia="宋体"/>
          <w:sz w:val="24"/>
          <w:szCs w:val="24"/>
        </w:rPr>
        <w:t>计算机</w:t>
      </w:r>
      <w:r>
        <w:rPr>
          <w:rFonts w:ascii="宋体" w:hAnsi="宋体" w:eastAsia="宋体"/>
          <w:sz w:val="24"/>
          <w:szCs w:val="24"/>
        </w:rPr>
        <w:t>学院学习</w:t>
      </w:r>
      <w:r>
        <w:rPr>
          <w:rFonts w:hint="eastAsia" w:ascii="宋体" w:hAnsi="宋体" w:eastAsia="宋体"/>
          <w:sz w:val="24"/>
          <w:szCs w:val="24"/>
        </w:rPr>
        <w:t>1</w:t>
      </w:r>
      <w:r>
        <w:rPr>
          <w:rFonts w:ascii="宋体" w:hAnsi="宋体" w:eastAsia="宋体"/>
          <w:sz w:val="24"/>
          <w:szCs w:val="24"/>
        </w:rPr>
        <w:t>年。在本校学习期间，须修满培养方案规定的课程并取得相应的学分</w:t>
      </w:r>
      <w:r>
        <w:rPr>
          <w:rFonts w:hint="eastAsia" w:ascii="宋体" w:hAnsi="宋体" w:eastAsia="宋体"/>
          <w:sz w:val="24"/>
          <w:szCs w:val="24"/>
        </w:rPr>
        <w:t>，</w:t>
      </w:r>
      <w:r>
        <w:rPr>
          <w:rFonts w:ascii="宋体" w:hAnsi="宋体" w:eastAsia="宋体"/>
          <w:sz w:val="24"/>
          <w:szCs w:val="24"/>
        </w:rPr>
        <w:t>且平均分达到80分（百分制）以上（绩点不低于3.0）。英语能力测试和专业面试合格后，可进入伊利诺伊理工大学</w:t>
      </w:r>
      <w:r>
        <w:rPr>
          <w:rFonts w:hint="eastAsia" w:ascii="宋体" w:hAnsi="宋体" w:eastAsia="宋体"/>
          <w:sz w:val="24"/>
          <w:szCs w:val="24"/>
        </w:rPr>
        <w:t>计算机学院</w:t>
      </w:r>
      <w:r>
        <w:rPr>
          <w:rFonts w:ascii="宋体" w:hAnsi="宋体" w:eastAsia="宋体"/>
          <w:sz w:val="24"/>
          <w:szCs w:val="24"/>
        </w:rPr>
        <w:t>就读。在美学习期间，须修满伊利诺伊理工大学</w:t>
      </w:r>
      <w:r>
        <w:rPr>
          <w:rFonts w:hint="eastAsia" w:ascii="宋体" w:hAnsi="宋体" w:eastAsia="宋体"/>
          <w:sz w:val="24"/>
          <w:szCs w:val="24"/>
        </w:rPr>
        <w:t>计算机</w:t>
      </w:r>
      <w:r>
        <w:rPr>
          <w:rFonts w:ascii="宋体" w:hAnsi="宋体" w:eastAsia="宋体"/>
          <w:sz w:val="24"/>
          <w:szCs w:val="24"/>
        </w:rPr>
        <w:t>学院所要求的</w:t>
      </w:r>
      <w:r>
        <w:rPr>
          <w:rFonts w:hint="eastAsia" w:ascii="宋体" w:hAnsi="宋体" w:eastAsia="宋体"/>
          <w:sz w:val="24"/>
          <w:szCs w:val="24"/>
        </w:rPr>
        <w:t>18-21个</w:t>
      </w:r>
      <w:r>
        <w:rPr>
          <w:rFonts w:ascii="宋体" w:hAnsi="宋体" w:eastAsia="宋体"/>
          <w:sz w:val="24"/>
          <w:szCs w:val="24"/>
        </w:rPr>
        <w:t xml:space="preserve">课程学分。 </w:t>
      </w:r>
      <w:r>
        <w:rPr>
          <w:rFonts w:hint="eastAsia" w:ascii="宋体" w:hAnsi="宋体" w:eastAsia="宋体"/>
          <w:sz w:val="24"/>
          <w:szCs w:val="24"/>
        </w:rPr>
        <w:t>有机会获得伊利诺伊理工大学的奖学金（学费减免）最高额度可达</w:t>
      </w:r>
      <w:r>
        <w:rPr>
          <w:rFonts w:ascii="宋体" w:hAnsi="宋体" w:eastAsia="宋体"/>
          <w:sz w:val="24"/>
          <w:szCs w:val="24"/>
        </w:rPr>
        <w:t>5</w:t>
      </w:r>
      <w:r>
        <w:rPr>
          <w:rFonts w:hint="eastAsia" w:ascii="宋体" w:hAnsi="宋体" w:eastAsia="宋体"/>
          <w:sz w:val="24"/>
          <w:szCs w:val="24"/>
        </w:rPr>
        <w:t>000美元</w:t>
      </w:r>
      <w:r>
        <w:rPr>
          <w:rFonts w:ascii="宋体" w:hAnsi="宋体" w:eastAsia="宋体"/>
          <w:sz w:val="24"/>
          <w:szCs w:val="24"/>
        </w:rPr>
        <w:t>。</w:t>
      </w:r>
    </w:p>
    <w:p>
      <w:pPr>
        <w:spacing w:line="300" w:lineRule="auto"/>
        <w:rPr>
          <w:rFonts w:ascii="宋体" w:hAnsi="宋体" w:eastAsia="宋体"/>
          <w:sz w:val="24"/>
          <w:szCs w:val="24"/>
        </w:rPr>
      </w:pPr>
    </w:p>
    <w:p>
      <w:pPr>
        <w:spacing w:line="300" w:lineRule="auto"/>
        <w:rPr>
          <w:rFonts w:ascii="宋体" w:hAnsi="宋体" w:eastAsia="宋体"/>
          <w:sz w:val="24"/>
          <w:szCs w:val="24"/>
        </w:rPr>
      </w:pPr>
    </w:p>
    <w:p>
      <w:pPr>
        <w:spacing w:line="300" w:lineRule="auto"/>
        <w:rPr>
          <w:rFonts w:ascii="宋体" w:hAnsi="宋体" w:eastAsia="宋体"/>
          <w:sz w:val="24"/>
          <w:szCs w:val="24"/>
        </w:rPr>
      </w:pPr>
      <w:r>
        <w:rPr>
          <w:rFonts w:hint="eastAsia" w:ascii="宋体" w:hAnsi="宋体" w:eastAsia="宋体"/>
          <w:sz w:val="24"/>
          <w:szCs w:val="24"/>
        </w:rPr>
        <w:t>联系方式：</w:t>
      </w:r>
    </w:p>
    <w:p>
      <w:pPr>
        <w:spacing w:line="300" w:lineRule="auto"/>
        <w:rPr>
          <w:rFonts w:ascii="宋体" w:hAnsi="宋体" w:eastAsia="宋体"/>
          <w:sz w:val="24"/>
          <w:szCs w:val="24"/>
        </w:rPr>
      </w:pPr>
      <w:r>
        <w:rPr>
          <w:rFonts w:hint="eastAsia" w:ascii="宋体" w:hAnsi="宋体" w:eastAsia="宋体"/>
          <w:sz w:val="24"/>
          <w:szCs w:val="24"/>
        </w:rPr>
        <w:t>地址：湖北省武汉市东湖高新技术开发区南湖大道</w:t>
      </w:r>
      <w:r>
        <w:rPr>
          <w:rFonts w:ascii="宋体" w:hAnsi="宋体" w:eastAsia="宋体"/>
          <w:sz w:val="24"/>
          <w:szCs w:val="24"/>
        </w:rPr>
        <w:t>182号</w:t>
      </w:r>
      <w:r>
        <w:rPr>
          <w:rFonts w:hint="eastAsia" w:ascii="宋体" w:hAnsi="宋体" w:eastAsia="宋体"/>
          <w:sz w:val="24"/>
          <w:szCs w:val="24"/>
        </w:rPr>
        <w:t>文永楼</w:t>
      </w:r>
      <w:r>
        <w:rPr>
          <w:rFonts w:ascii="宋体" w:hAnsi="宋体" w:eastAsia="宋体"/>
          <w:sz w:val="24"/>
          <w:szCs w:val="24"/>
        </w:rPr>
        <w:t xml:space="preserve">            </w:t>
      </w:r>
      <w:r>
        <w:rPr>
          <w:rFonts w:ascii="宋体" w:hAnsi="宋体" w:eastAsia="宋体"/>
          <w:sz w:val="24"/>
          <w:szCs w:val="24"/>
        </w:rPr>
        <w:cr/>
      </w:r>
      <w:r>
        <w:rPr>
          <w:rFonts w:ascii="宋体" w:hAnsi="宋体" w:eastAsia="宋体"/>
          <w:sz w:val="24"/>
          <w:szCs w:val="24"/>
        </w:rPr>
        <w:t>中南财经政法大学</w:t>
      </w:r>
      <w:r>
        <w:rPr>
          <w:rFonts w:hint="eastAsia" w:ascii="宋体" w:hAnsi="宋体" w:eastAsia="宋体"/>
          <w:sz w:val="24"/>
          <w:szCs w:val="24"/>
        </w:rPr>
        <w:t>信息与安全工程学院网站：</w:t>
      </w:r>
      <w:r>
        <w:rPr>
          <w:rFonts w:ascii="宋体" w:hAnsi="宋体" w:eastAsia="宋体"/>
          <w:sz w:val="24"/>
          <w:szCs w:val="24"/>
        </w:rPr>
        <w:t>http://xagx.zuel.edu.cn/</w:t>
      </w:r>
      <w:r>
        <w:rPr>
          <w:rFonts w:ascii="宋体" w:hAnsi="宋体" w:eastAsia="宋体"/>
          <w:sz w:val="24"/>
          <w:szCs w:val="24"/>
        </w:rPr>
        <w:cr/>
      </w:r>
      <w:r>
        <w:rPr>
          <w:rFonts w:ascii="宋体" w:hAnsi="宋体" w:eastAsia="宋体"/>
          <w:sz w:val="24"/>
          <w:szCs w:val="24"/>
        </w:rPr>
        <w:t>伊利诺伊理工大学网站：</w:t>
      </w:r>
      <w:r>
        <w:fldChar w:fldCharType="begin"/>
      </w:r>
      <w:r>
        <w:instrText xml:space="preserve"> HYPERLINK "http://web.iit.edu/" </w:instrText>
      </w:r>
      <w:r>
        <w:fldChar w:fldCharType="separate"/>
      </w:r>
      <w:r>
        <w:rPr>
          <w:rFonts w:ascii="宋体" w:hAnsi="宋体" w:eastAsia="宋体"/>
          <w:sz w:val="24"/>
          <w:szCs w:val="24"/>
        </w:rPr>
        <w:t>http://web.iit.edu/</w:t>
      </w:r>
      <w:r>
        <w:rPr>
          <w:rFonts w:ascii="宋体" w:hAnsi="宋体" w:eastAsia="宋体"/>
          <w:sz w:val="24"/>
          <w:szCs w:val="24"/>
        </w:rPr>
        <w:fldChar w:fldCharType="end"/>
      </w:r>
    </w:p>
    <w:p>
      <w:pPr>
        <w:spacing w:line="300" w:lineRule="auto"/>
        <w:rPr>
          <w:rFonts w:ascii="宋体" w:hAnsi="宋体" w:eastAsia="宋体"/>
          <w:sz w:val="24"/>
          <w:szCs w:val="24"/>
        </w:rPr>
      </w:pPr>
      <w:r>
        <w:rPr>
          <w:rFonts w:hint="eastAsia" w:ascii="宋体" w:hAnsi="宋体" w:eastAsia="宋体"/>
          <w:sz w:val="24"/>
          <w:szCs w:val="24"/>
        </w:rPr>
        <w:t>欢迎扫码垂询</w:t>
      </w:r>
    </w:p>
    <w:p>
      <w:pPr>
        <w:spacing w:line="300" w:lineRule="auto"/>
        <w:rPr>
          <w:rFonts w:ascii="宋体" w:hAnsi="宋体" w:eastAsia="宋体"/>
          <w:sz w:val="24"/>
          <w:szCs w:val="24"/>
        </w:rPr>
      </w:pPr>
    </w:p>
    <w:p>
      <w:pPr>
        <w:spacing w:line="300" w:lineRule="auto"/>
        <w:ind w:firstLine="480" w:firstLineChars="200"/>
        <w:rPr>
          <w:rFonts w:ascii="宋体" w:hAnsi="宋体" w:eastAsia="宋体"/>
          <w:sz w:val="24"/>
          <w:szCs w:val="24"/>
        </w:rPr>
      </w:pPr>
    </w:p>
    <w:p>
      <w:pPr>
        <w:pStyle w:val="3"/>
        <w:rPr>
          <w:rFonts w:hint="eastAsia" w:eastAsiaTheme="majorEastAsia"/>
          <w:lang w:eastAsia="zh-CN"/>
        </w:rPr>
      </w:pPr>
      <w:bookmarkStart w:id="0" w:name="_GoBack"/>
      <w:r>
        <w:rPr>
          <w:rFonts w:hint="eastAsia" w:eastAsiaTheme="majorEastAsia"/>
          <w:lang w:eastAsia="zh-CN"/>
        </w:rPr>
        <w:drawing>
          <wp:anchor distT="0" distB="0" distL="114300" distR="114300" simplePos="0" relativeHeight="251658240" behindDoc="1" locked="0" layoutInCell="1" allowOverlap="1">
            <wp:simplePos x="0" y="0"/>
            <wp:positionH relativeFrom="column">
              <wp:posOffset>-209550</wp:posOffset>
            </wp:positionH>
            <wp:positionV relativeFrom="paragraph">
              <wp:posOffset>184150</wp:posOffset>
            </wp:positionV>
            <wp:extent cx="2823210" cy="3657600"/>
            <wp:effectExtent l="0" t="0" r="15240" b="0"/>
            <wp:wrapTight wrapText="bothSides">
              <wp:wrapPolygon>
                <wp:start x="0" y="0"/>
                <wp:lineTo x="0" y="21488"/>
                <wp:lineTo x="21425" y="21488"/>
                <wp:lineTo x="21425" y="0"/>
                <wp:lineTo x="0" y="0"/>
              </wp:wrapPolygon>
            </wp:wrapTight>
            <wp:docPr id="3" name="图片 3" descr="5eee0490595e1eabbd7bc7181b6a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eee0490595e1eabbd7bc7181b6abc3"/>
                    <pic:cNvPicPr>
                      <a:picLocks noChangeAspect="1"/>
                    </pic:cNvPicPr>
                  </pic:nvPicPr>
                  <pic:blipFill>
                    <a:blip r:embed="rId9"/>
                    <a:stretch>
                      <a:fillRect/>
                    </a:stretch>
                  </pic:blipFill>
                  <pic:spPr>
                    <a:xfrm>
                      <a:off x="0" y="0"/>
                      <a:ext cx="2823210" cy="3657600"/>
                    </a:xfrm>
                    <a:prstGeom prst="rect">
                      <a:avLst/>
                    </a:prstGeom>
                  </pic:spPr>
                </pic:pic>
              </a:graphicData>
            </a:graphic>
          </wp:anchor>
        </w:drawing>
      </w:r>
      <w:bookmarkEnd w:id="0"/>
      <w:r>
        <w:rPr>
          <w:rFonts w:hint="eastAsia" w:eastAsiaTheme="majorEastAsia"/>
          <w:lang w:eastAsia="zh-CN"/>
        </w:rPr>
        <w:drawing>
          <wp:anchor distT="0" distB="0" distL="114300" distR="114300" simplePos="0" relativeHeight="251659264" behindDoc="1" locked="0" layoutInCell="1" allowOverlap="1">
            <wp:simplePos x="0" y="0"/>
            <wp:positionH relativeFrom="column">
              <wp:posOffset>2733675</wp:posOffset>
            </wp:positionH>
            <wp:positionV relativeFrom="paragraph">
              <wp:posOffset>52705</wp:posOffset>
            </wp:positionV>
            <wp:extent cx="2821305" cy="5018405"/>
            <wp:effectExtent l="0" t="0" r="17145" b="10795"/>
            <wp:wrapTight wrapText="bothSides">
              <wp:wrapPolygon>
                <wp:start x="0" y="0"/>
                <wp:lineTo x="0" y="21482"/>
                <wp:lineTo x="21440" y="21482"/>
                <wp:lineTo x="21440" y="0"/>
                <wp:lineTo x="0" y="0"/>
              </wp:wrapPolygon>
            </wp:wrapTight>
            <wp:docPr id="5" name="图片 5" descr="3567b71f784a3d9a20104268000d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567b71f784a3d9a20104268000d4a5"/>
                    <pic:cNvPicPr>
                      <a:picLocks noChangeAspect="1"/>
                    </pic:cNvPicPr>
                  </pic:nvPicPr>
                  <pic:blipFill>
                    <a:blip r:embed="rId10"/>
                    <a:stretch>
                      <a:fillRect/>
                    </a:stretch>
                  </pic:blipFill>
                  <pic:spPr>
                    <a:xfrm>
                      <a:off x="0" y="0"/>
                      <a:ext cx="2821305" cy="501840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47"/>
    <w:rsid w:val="00041A5E"/>
    <w:rsid w:val="000641EA"/>
    <w:rsid w:val="00086C23"/>
    <w:rsid w:val="001972BB"/>
    <w:rsid w:val="001B3516"/>
    <w:rsid w:val="00251DAE"/>
    <w:rsid w:val="003362E3"/>
    <w:rsid w:val="00352FBA"/>
    <w:rsid w:val="003865DD"/>
    <w:rsid w:val="003E209C"/>
    <w:rsid w:val="004E1C8B"/>
    <w:rsid w:val="00625363"/>
    <w:rsid w:val="0063431F"/>
    <w:rsid w:val="00702881"/>
    <w:rsid w:val="0076179F"/>
    <w:rsid w:val="007B2F7A"/>
    <w:rsid w:val="007D5E49"/>
    <w:rsid w:val="007F1AAF"/>
    <w:rsid w:val="0080490A"/>
    <w:rsid w:val="008F746E"/>
    <w:rsid w:val="00994B0F"/>
    <w:rsid w:val="00A3658F"/>
    <w:rsid w:val="00AD27EA"/>
    <w:rsid w:val="00B60EFA"/>
    <w:rsid w:val="00CF2747"/>
    <w:rsid w:val="00DC568B"/>
    <w:rsid w:val="00DE0321"/>
    <w:rsid w:val="00DE37F4"/>
    <w:rsid w:val="00E263D1"/>
    <w:rsid w:val="00E46628"/>
    <w:rsid w:val="00E607A2"/>
    <w:rsid w:val="00EA370F"/>
    <w:rsid w:val="00EC728E"/>
    <w:rsid w:val="00ED7030"/>
    <w:rsid w:val="00F5141E"/>
    <w:rsid w:val="00F5251D"/>
    <w:rsid w:val="00F679BD"/>
    <w:rsid w:val="00F71F10"/>
    <w:rsid w:val="00F849B0"/>
    <w:rsid w:val="00F94724"/>
    <w:rsid w:val="00F94737"/>
    <w:rsid w:val="00FD55A7"/>
    <w:rsid w:val="32232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8"/>
    <w:semiHidden/>
    <w:unhideWhenUsed/>
    <w:uiPriority w:val="99"/>
    <w:rPr>
      <w:sz w:val="18"/>
      <w:szCs w:val="18"/>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22"/>
    <w:rPr>
      <w:b/>
      <w:bCs/>
    </w:rPr>
  </w:style>
  <w:style w:type="character" w:styleId="11">
    <w:name w:val="Hyperlink"/>
    <w:basedOn w:val="9"/>
    <w:unhideWhenUsed/>
    <w:uiPriority w:val="99"/>
    <w:rPr>
      <w:color w:val="0563C1" w:themeColor="hyperlink"/>
      <w:u w:val="single"/>
      <w14:textFill>
        <w14:solidFill>
          <w14:schemeClr w14:val="hlink"/>
        </w14:solidFill>
      </w14:textFill>
    </w:rPr>
  </w:style>
  <w:style w:type="character" w:customStyle="1" w:styleId="12">
    <w:name w:val="未处理的提及1"/>
    <w:basedOn w:val="9"/>
    <w:semiHidden/>
    <w:unhideWhenUsed/>
    <w:uiPriority w:val="99"/>
    <w:rPr>
      <w:color w:val="605E5C"/>
      <w:shd w:val="clear" w:color="auto" w:fill="E1DFDD"/>
    </w:rPr>
  </w:style>
  <w:style w:type="paragraph" w:styleId="13">
    <w:name w:val="List Paragraph"/>
    <w:basedOn w:val="1"/>
    <w:qFormat/>
    <w:uiPriority w:val="34"/>
    <w:pPr>
      <w:ind w:firstLine="420" w:firstLineChars="200"/>
    </w:pPr>
  </w:style>
  <w:style w:type="character" w:customStyle="1" w:styleId="14">
    <w:name w:val="标题 1 字符"/>
    <w:basedOn w:val="9"/>
    <w:link w:val="2"/>
    <w:qFormat/>
    <w:uiPriority w:val="9"/>
    <w:rPr>
      <w:b/>
      <w:bCs/>
      <w:kern w:val="44"/>
      <w:sz w:val="44"/>
      <w:szCs w:val="44"/>
    </w:rPr>
  </w:style>
  <w:style w:type="character" w:customStyle="1" w:styleId="15">
    <w:name w:val="标题 2 字符"/>
    <w:basedOn w:val="9"/>
    <w:link w:val="3"/>
    <w:qFormat/>
    <w:uiPriority w:val="9"/>
    <w:rPr>
      <w:rFonts w:asciiTheme="majorHAnsi" w:hAnsiTheme="majorHAnsi" w:eastAsiaTheme="majorEastAsia" w:cstheme="majorBidi"/>
      <w:b/>
      <w:bCs/>
      <w:sz w:val="32"/>
      <w:szCs w:val="32"/>
    </w:rPr>
  </w:style>
  <w:style w:type="character" w:customStyle="1" w:styleId="16">
    <w:name w:val="标题 3 字符"/>
    <w:basedOn w:val="9"/>
    <w:link w:val="4"/>
    <w:uiPriority w:val="9"/>
    <w:rPr>
      <w:b/>
      <w:bCs/>
      <w:sz w:val="32"/>
      <w:szCs w:val="32"/>
    </w:rPr>
  </w:style>
  <w:style w:type="paragraph" w:customStyle="1" w:styleId="17">
    <w:name w:val="样式1"/>
    <w:basedOn w:val="1"/>
    <w:qFormat/>
    <w:uiPriority w:val="0"/>
    <w:rPr>
      <w:rFonts w:eastAsia="宋体"/>
      <w:sz w:val="24"/>
    </w:rPr>
  </w:style>
  <w:style w:type="character" w:customStyle="1" w:styleId="18">
    <w:name w:val="批注框文本 字符"/>
    <w:basedOn w:val="9"/>
    <w:link w:val="5"/>
    <w:semiHidden/>
    <w:qFormat/>
    <w:uiPriority w:val="99"/>
    <w:rPr>
      <w:sz w:val="18"/>
      <w:szCs w:val="18"/>
    </w:rPr>
  </w:style>
  <w:style w:type="character" w:customStyle="1" w:styleId="19">
    <w:name w:val="页眉 字符"/>
    <w:basedOn w:val="9"/>
    <w:link w:val="7"/>
    <w:uiPriority w:val="99"/>
    <w:rPr>
      <w:sz w:val="18"/>
      <w:szCs w:val="18"/>
    </w:rPr>
  </w:style>
  <w:style w:type="character" w:customStyle="1" w:styleId="20">
    <w:name w:val="页脚 字符"/>
    <w:basedOn w:val="9"/>
    <w:link w:val="6"/>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65639-F32C-4785-94BD-2A43AB6AB118}">
  <ds:schemaRefs/>
</ds:datastoreItem>
</file>

<file path=docProps/app.xml><?xml version="1.0" encoding="utf-8"?>
<Properties xmlns="http://schemas.openxmlformats.org/officeDocument/2006/extended-properties" xmlns:vt="http://schemas.openxmlformats.org/officeDocument/2006/docPropsVTypes">
  <Template>Normal.dotm</Template>
  <Pages>5</Pages>
  <Words>280</Words>
  <Characters>1598</Characters>
  <Lines>13</Lines>
  <Paragraphs>3</Paragraphs>
  <TotalTime>1</TotalTime>
  <ScaleCrop>false</ScaleCrop>
  <LinksUpToDate>false</LinksUpToDate>
  <CharactersWithSpaces>1875</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2020-07-14T17:16:00Z</dcterms:created>
  <dc:creator>liu pallas</dc:creator>
  <cp:lastModifiedBy>WPS_1476009456</cp:lastModifiedBy>
  <dcterms:modified xsi:type="dcterms:W3CDTF">2021-06-02T06:33:17Z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